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48C58" w14:textId="1DD8BAA6" w:rsidR="002B38AA" w:rsidRDefault="002B38AA" w:rsidP="00116FEF">
      <w:pPr>
        <w:spacing w:after="0" w:line="480" w:lineRule="auto"/>
        <w:rPr>
          <w:rFonts w:ascii="Times New Roman" w:hAnsi="Times New Roman" w:cs="Times New Roman"/>
          <w:sz w:val="24"/>
          <w:szCs w:val="24"/>
        </w:rPr>
      </w:pPr>
      <w:bookmarkStart w:id="0" w:name="_GoBack"/>
      <w:bookmarkEnd w:id="0"/>
    </w:p>
    <w:p w14:paraId="1E7D44A7" w14:textId="46BF860C" w:rsidR="00E2252F" w:rsidRDefault="00E2252F" w:rsidP="00116FEF">
      <w:pPr>
        <w:spacing w:after="0" w:line="480" w:lineRule="auto"/>
        <w:rPr>
          <w:rFonts w:ascii="Times New Roman" w:hAnsi="Times New Roman" w:cs="Times New Roman"/>
          <w:sz w:val="24"/>
          <w:szCs w:val="24"/>
        </w:rPr>
      </w:pPr>
    </w:p>
    <w:p w14:paraId="3C8649DC" w14:textId="06CC4C0D" w:rsidR="00E2252F" w:rsidRDefault="00E2252F" w:rsidP="00116FEF">
      <w:pPr>
        <w:spacing w:after="0" w:line="480" w:lineRule="auto"/>
        <w:rPr>
          <w:rFonts w:ascii="Times New Roman" w:hAnsi="Times New Roman" w:cs="Times New Roman"/>
          <w:sz w:val="24"/>
          <w:szCs w:val="24"/>
        </w:rPr>
      </w:pPr>
    </w:p>
    <w:p w14:paraId="668E3B01" w14:textId="797A7C9C" w:rsidR="00E2252F" w:rsidRDefault="00E2252F" w:rsidP="00116FEF">
      <w:pPr>
        <w:spacing w:after="0" w:line="480" w:lineRule="auto"/>
        <w:rPr>
          <w:rFonts w:ascii="Times New Roman" w:hAnsi="Times New Roman" w:cs="Times New Roman"/>
          <w:sz w:val="24"/>
          <w:szCs w:val="24"/>
        </w:rPr>
      </w:pPr>
    </w:p>
    <w:p w14:paraId="6B0B7869" w14:textId="32174B35" w:rsidR="00E2252F" w:rsidRDefault="00E2252F" w:rsidP="00116FEF">
      <w:pPr>
        <w:spacing w:after="0" w:line="480" w:lineRule="auto"/>
        <w:rPr>
          <w:rFonts w:ascii="Times New Roman" w:hAnsi="Times New Roman" w:cs="Times New Roman"/>
          <w:sz w:val="24"/>
          <w:szCs w:val="24"/>
        </w:rPr>
      </w:pPr>
    </w:p>
    <w:p w14:paraId="42ACFBDB" w14:textId="0146E4F7" w:rsidR="00E2252F" w:rsidRDefault="00E2252F" w:rsidP="00116FEF">
      <w:pPr>
        <w:spacing w:after="0" w:line="480" w:lineRule="auto"/>
        <w:rPr>
          <w:rFonts w:ascii="Times New Roman" w:hAnsi="Times New Roman" w:cs="Times New Roman"/>
          <w:sz w:val="24"/>
          <w:szCs w:val="24"/>
        </w:rPr>
      </w:pPr>
    </w:p>
    <w:p w14:paraId="17CA9A7F" w14:textId="5295A78B" w:rsidR="00E2252F" w:rsidRDefault="00E2252F" w:rsidP="00116FEF">
      <w:pPr>
        <w:spacing w:after="0" w:line="480" w:lineRule="auto"/>
        <w:rPr>
          <w:rFonts w:ascii="Times New Roman" w:hAnsi="Times New Roman" w:cs="Times New Roman"/>
          <w:sz w:val="24"/>
          <w:szCs w:val="24"/>
        </w:rPr>
      </w:pPr>
    </w:p>
    <w:p w14:paraId="677E0A6A" w14:textId="77777777" w:rsidR="00E2252F" w:rsidRDefault="00E2252F" w:rsidP="00116FEF">
      <w:pPr>
        <w:spacing w:after="0" w:line="480" w:lineRule="auto"/>
        <w:rPr>
          <w:rFonts w:ascii="Times New Roman" w:hAnsi="Times New Roman" w:cs="Times New Roman"/>
          <w:sz w:val="24"/>
          <w:szCs w:val="24"/>
        </w:rPr>
      </w:pPr>
    </w:p>
    <w:p w14:paraId="7ECFE23B" w14:textId="77777777" w:rsidR="00E2252F" w:rsidRDefault="00E2252F" w:rsidP="00116FEF">
      <w:pPr>
        <w:spacing w:after="0" w:line="480" w:lineRule="auto"/>
        <w:rPr>
          <w:rFonts w:ascii="Times New Roman" w:hAnsi="Times New Roman" w:cs="Times New Roman"/>
          <w:sz w:val="24"/>
          <w:szCs w:val="24"/>
        </w:rPr>
      </w:pPr>
    </w:p>
    <w:p w14:paraId="524967AF" w14:textId="6962652A" w:rsidR="00E2252F" w:rsidRDefault="00E2252F" w:rsidP="00116F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Delta Airlines – Equity Discussion Post</w:t>
      </w:r>
    </w:p>
    <w:p w14:paraId="6CF8E340" w14:textId="06FF7691" w:rsidR="00E2252F" w:rsidRDefault="00E2252F" w:rsidP="00116F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7455D2" w14:textId="46107DAF" w:rsidR="00E2252F" w:rsidRDefault="00E2252F" w:rsidP="00116F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1B28436" w14:textId="24FF25D8" w:rsidR="00E2252F" w:rsidRDefault="00E2252F" w:rsidP="00116F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B5B8CE8" w14:textId="52088CB3" w:rsidR="00E2252F" w:rsidRDefault="00E2252F" w:rsidP="00116FEF">
      <w:pPr>
        <w:spacing w:after="0" w:line="480" w:lineRule="auto"/>
        <w:rPr>
          <w:rFonts w:ascii="Times New Roman" w:hAnsi="Times New Roman" w:cs="Times New Roman"/>
          <w:sz w:val="24"/>
          <w:szCs w:val="24"/>
        </w:rPr>
      </w:pPr>
    </w:p>
    <w:p w14:paraId="2D0A8772" w14:textId="07FAE0C8" w:rsidR="00BB4C64" w:rsidRDefault="00BB4C64" w:rsidP="00116FEF">
      <w:pPr>
        <w:spacing w:after="0" w:line="480" w:lineRule="auto"/>
        <w:rPr>
          <w:rFonts w:ascii="Times New Roman" w:hAnsi="Times New Roman" w:cs="Times New Roman"/>
          <w:sz w:val="24"/>
          <w:szCs w:val="24"/>
        </w:rPr>
      </w:pPr>
    </w:p>
    <w:p w14:paraId="3E8E0D42" w14:textId="6A9F6415" w:rsidR="00BB4C64" w:rsidRDefault="00BB4C64" w:rsidP="00116FEF">
      <w:pPr>
        <w:spacing w:after="0" w:line="480" w:lineRule="auto"/>
        <w:rPr>
          <w:rFonts w:ascii="Times New Roman" w:hAnsi="Times New Roman" w:cs="Times New Roman"/>
          <w:sz w:val="24"/>
          <w:szCs w:val="24"/>
        </w:rPr>
      </w:pPr>
    </w:p>
    <w:p w14:paraId="7FCF61ED" w14:textId="51ECBB4E" w:rsidR="00BB4C64" w:rsidRDefault="00BB4C64" w:rsidP="00116FEF">
      <w:pPr>
        <w:spacing w:after="0" w:line="480" w:lineRule="auto"/>
        <w:rPr>
          <w:rFonts w:ascii="Times New Roman" w:hAnsi="Times New Roman" w:cs="Times New Roman"/>
          <w:sz w:val="24"/>
          <w:szCs w:val="24"/>
        </w:rPr>
      </w:pPr>
    </w:p>
    <w:p w14:paraId="01DA8312" w14:textId="36E2F3F3" w:rsidR="00BB4C64" w:rsidRDefault="00BB4C64" w:rsidP="00116FEF">
      <w:pPr>
        <w:spacing w:after="0" w:line="480" w:lineRule="auto"/>
        <w:rPr>
          <w:rFonts w:ascii="Times New Roman" w:hAnsi="Times New Roman" w:cs="Times New Roman"/>
          <w:sz w:val="24"/>
          <w:szCs w:val="24"/>
        </w:rPr>
      </w:pPr>
    </w:p>
    <w:p w14:paraId="3BB583C7" w14:textId="3D8D333F" w:rsidR="00BB4C64" w:rsidRDefault="00BB4C64" w:rsidP="00116FEF">
      <w:pPr>
        <w:spacing w:after="0" w:line="480" w:lineRule="auto"/>
        <w:rPr>
          <w:rFonts w:ascii="Times New Roman" w:hAnsi="Times New Roman" w:cs="Times New Roman"/>
          <w:sz w:val="24"/>
          <w:szCs w:val="24"/>
        </w:rPr>
      </w:pPr>
    </w:p>
    <w:p w14:paraId="6CF3DC70" w14:textId="625CABBF" w:rsidR="00BB4C64" w:rsidRDefault="00BB4C64" w:rsidP="00116FEF">
      <w:pPr>
        <w:spacing w:after="0" w:line="480" w:lineRule="auto"/>
        <w:rPr>
          <w:rFonts w:ascii="Times New Roman" w:hAnsi="Times New Roman" w:cs="Times New Roman"/>
          <w:sz w:val="24"/>
          <w:szCs w:val="24"/>
        </w:rPr>
      </w:pPr>
    </w:p>
    <w:p w14:paraId="1835B05B" w14:textId="5EBB5119" w:rsidR="00BB4C64" w:rsidRDefault="00BB4C64" w:rsidP="00116FEF">
      <w:pPr>
        <w:spacing w:after="0" w:line="480" w:lineRule="auto"/>
        <w:rPr>
          <w:rFonts w:ascii="Times New Roman" w:hAnsi="Times New Roman" w:cs="Times New Roman"/>
          <w:sz w:val="24"/>
          <w:szCs w:val="24"/>
        </w:rPr>
      </w:pPr>
    </w:p>
    <w:p w14:paraId="53231535" w14:textId="03F16607" w:rsidR="00BB4C64" w:rsidRDefault="00BB4C64" w:rsidP="00116FEF">
      <w:pPr>
        <w:spacing w:after="0" w:line="480" w:lineRule="auto"/>
        <w:rPr>
          <w:rFonts w:ascii="Times New Roman" w:hAnsi="Times New Roman" w:cs="Times New Roman"/>
          <w:sz w:val="24"/>
          <w:szCs w:val="24"/>
        </w:rPr>
      </w:pPr>
    </w:p>
    <w:p w14:paraId="5EE3D0DD" w14:textId="64D0A292" w:rsidR="00BB4C64" w:rsidRDefault="00BB4C64" w:rsidP="00116FEF">
      <w:pPr>
        <w:spacing w:after="0" w:line="480" w:lineRule="auto"/>
        <w:rPr>
          <w:rFonts w:ascii="Times New Roman" w:hAnsi="Times New Roman" w:cs="Times New Roman"/>
          <w:sz w:val="24"/>
          <w:szCs w:val="24"/>
        </w:rPr>
      </w:pPr>
    </w:p>
    <w:p w14:paraId="29863500" w14:textId="77777777" w:rsidR="00BE77B0" w:rsidRDefault="00BE77B0" w:rsidP="00116F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Delta Airlines – Equity Discussion Post</w:t>
      </w:r>
    </w:p>
    <w:p w14:paraId="6A38D5AD" w14:textId="797531D4" w:rsidR="00F5750C" w:rsidRDefault="00F70B98" w:rsidP="00D97A84">
      <w:pPr>
        <w:spacing w:after="0" w:line="480" w:lineRule="auto"/>
        <w:ind w:firstLine="720"/>
        <w:rPr>
          <w:rFonts w:ascii="Times New Roman" w:hAnsi="Times New Roman" w:cs="Times New Roman"/>
          <w:sz w:val="24"/>
          <w:szCs w:val="24"/>
        </w:rPr>
      </w:pPr>
      <w:r w:rsidRPr="00F70B98">
        <w:rPr>
          <w:rFonts w:ascii="Times New Roman" w:hAnsi="Times New Roman" w:cs="Times New Roman"/>
          <w:sz w:val="24"/>
          <w:szCs w:val="24"/>
        </w:rPr>
        <w:t>Delta Airlines, Inc. had approximately 2,300 holders on its common stock record as of January 31st, 2020. By the end of 2019, Delta Airlines, Inc.'s preferred stock was $500 million. Its outstanding common stock at the end of the year 2019 was $1.5 billion. The par value per share was $0.0001. The company's board of directors started a quarterly dividend program back in September 2013, and the company has managed to increase the quarterly dividend payment several times. In the September 2019 quarter, the company rose the dividend payment to $0.4025</w:t>
      </w:r>
      <w:r w:rsidR="00BD6184">
        <w:rPr>
          <w:rFonts w:ascii="Times New Roman" w:hAnsi="Times New Roman" w:cs="Times New Roman"/>
          <w:sz w:val="24"/>
          <w:szCs w:val="24"/>
        </w:rPr>
        <w:t>.</w:t>
      </w:r>
      <w:r w:rsidRPr="00F70B98">
        <w:rPr>
          <w:rFonts w:ascii="Times New Roman" w:hAnsi="Times New Roman" w:cs="Times New Roman"/>
          <w:sz w:val="24"/>
          <w:szCs w:val="24"/>
        </w:rPr>
        <w:t xml:space="preserve"> </w:t>
      </w:r>
      <w:r w:rsidR="00BD6184">
        <w:rPr>
          <w:rFonts w:ascii="Times New Roman" w:hAnsi="Times New Roman" w:cs="Times New Roman"/>
          <w:sz w:val="24"/>
          <w:szCs w:val="24"/>
        </w:rPr>
        <w:t>T</w:t>
      </w:r>
      <w:r w:rsidRPr="00F70B98">
        <w:rPr>
          <w:rFonts w:ascii="Times New Roman" w:hAnsi="Times New Roman" w:cs="Times New Roman"/>
          <w:sz w:val="24"/>
          <w:szCs w:val="24"/>
        </w:rPr>
        <w:t>he cash dividends declared per share by the end of 2019 were $1.51. The total cash dividends amounted to $980 million.</w:t>
      </w:r>
      <w:r w:rsidR="00D97A84">
        <w:rPr>
          <w:rFonts w:ascii="Times New Roman" w:hAnsi="Times New Roman" w:cs="Times New Roman"/>
          <w:sz w:val="24"/>
          <w:szCs w:val="24"/>
        </w:rPr>
        <w:t xml:space="preserve"> </w:t>
      </w:r>
    </w:p>
    <w:p w14:paraId="7092869C" w14:textId="0E183EEE" w:rsidR="009E7E1D" w:rsidRDefault="009E7E1D" w:rsidP="00D97A84">
      <w:pPr>
        <w:spacing w:after="0" w:line="480" w:lineRule="auto"/>
        <w:ind w:firstLine="720"/>
        <w:rPr>
          <w:rFonts w:ascii="Times New Roman" w:hAnsi="Times New Roman" w:cs="Times New Roman"/>
          <w:sz w:val="24"/>
          <w:szCs w:val="24"/>
        </w:rPr>
      </w:pPr>
      <w:r w:rsidRPr="00973685">
        <w:rPr>
          <w:rFonts w:ascii="Times New Roman" w:hAnsi="Times New Roman" w:cs="Times New Roman"/>
          <w:sz w:val="24"/>
          <w:szCs w:val="24"/>
        </w:rPr>
        <w:t>The</w:t>
      </w:r>
      <w:r w:rsidRPr="009E7E1D">
        <w:rPr>
          <w:rFonts w:ascii="Times New Roman" w:hAnsi="Times New Roman" w:cs="Times New Roman"/>
          <w:sz w:val="24"/>
          <w:szCs w:val="24"/>
        </w:rPr>
        <w:t xml:space="preserve"> value of basic earnings per share (EPS) </w:t>
      </w:r>
      <w:r w:rsidR="00722BA3">
        <w:rPr>
          <w:rFonts w:ascii="Times New Roman" w:hAnsi="Times New Roman" w:cs="Times New Roman"/>
          <w:sz w:val="24"/>
          <w:szCs w:val="24"/>
        </w:rPr>
        <w:t>of</w:t>
      </w:r>
      <w:r w:rsidRPr="009E7E1D">
        <w:rPr>
          <w:rFonts w:ascii="Times New Roman" w:hAnsi="Times New Roman" w:cs="Times New Roman"/>
          <w:sz w:val="24"/>
          <w:szCs w:val="24"/>
        </w:rPr>
        <w:t xml:space="preserve"> Delta Airlines, Inc.</w:t>
      </w:r>
      <w:r w:rsidR="00722BA3">
        <w:rPr>
          <w:rFonts w:ascii="Times New Roman" w:hAnsi="Times New Roman" w:cs="Times New Roman"/>
          <w:sz w:val="24"/>
          <w:szCs w:val="24"/>
        </w:rPr>
        <w:t xml:space="preserve"> in the year 2019 is</w:t>
      </w:r>
      <w:r w:rsidRPr="009E7E1D">
        <w:rPr>
          <w:rFonts w:ascii="Times New Roman" w:hAnsi="Times New Roman" w:cs="Times New Roman"/>
          <w:sz w:val="24"/>
          <w:szCs w:val="24"/>
        </w:rPr>
        <w:t xml:space="preserve"> [(4767-1.51)/651] = $7.32. </w:t>
      </w:r>
      <w:r w:rsidR="006D1E59">
        <w:rPr>
          <w:rFonts w:ascii="Times New Roman" w:hAnsi="Times New Roman" w:cs="Times New Roman"/>
          <w:sz w:val="24"/>
          <w:szCs w:val="24"/>
        </w:rPr>
        <w:t xml:space="preserve">The two methods </w:t>
      </w:r>
      <w:r w:rsidR="00571432">
        <w:rPr>
          <w:rFonts w:ascii="Times New Roman" w:hAnsi="Times New Roman" w:cs="Times New Roman"/>
          <w:sz w:val="24"/>
          <w:szCs w:val="24"/>
        </w:rPr>
        <w:t>used by businesses to detail</w:t>
      </w:r>
      <w:r w:rsidR="006D1E59">
        <w:rPr>
          <w:rFonts w:ascii="Times New Roman" w:hAnsi="Times New Roman" w:cs="Times New Roman"/>
          <w:sz w:val="24"/>
          <w:szCs w:val="24"/>
        </w:rPr>
        <w:t xml:space="preserve"> net cash flows from operating activities</w:t>
      </w:r>
      <w:r w:rsidR="00571432">
        <w:rPr>
          <w:rFonts w:ascii="Times New Roman" w:hAnsi="Times New Roman" w:cs="Times New Roman"/>
          <w:sz w:val="24"/>
          <w:szCs w:val="24"/>
        </w:rPr>
        <w:t xml:space="preserve"> are the direct and indirect approach</w:t>
      </w:r>
      <w:r w:rsidR="006D1E59">
        <w:rPr>
          <w:rFonts w:ascii="Times New Roman" w:hAnsi="Times New Roman" w:cs="Times New Roman"/>
          <w:sz w:val="24"/>
          <w:szCs w:val="24"/>
        </w:rPr>
        <w:t xml:space="preserve">. </w:t>
      </w:r>
      <w:r w:rsidRPr="009E7E1D">
        <w:rPr>
          <w:rFonts w:ascii="Times New Roman" w:hAnsi="Times New Roman" w:cs="Times New Roman"/>
          <w:sz w:val="24"/>
          <w:szCs w:val="24"/>
        </w:rPr>
        <w:t xml:space="preserve">Delta Airlines, Inc. utilizes the indirect method. </w:t>
      </w:r>
      <w:r w:rsidR="006D1E59">
        <w:rPr>
          <w:rFonts w:ascii="Times New Roman" w:hAnsi="Times New Roman" w:cs="Times New Roman"/>
          <w:sz w:val="24"/>
          <w:szCs w:val="24"/>
        </w:rPr>
        <w:t>One can tell because</w:t>
      </w:r>
      <w:r w:rsidRPr="009E7E1D">
        <w:rPr>
          <w:rFonts w:ascii="Times New Roman" w:hAnsi="Times New Roman" w:cs="Times New Roman"/>
          <w:sz w:val="24"/>
          <w:szCs w:val="24"/>
        </w:rPr>
        <w:t xml:space="preserve"> the company begins making its cash and non-cash adjustments starting with the net income value (Saint-Leger, n.d.).</w:t>
      </w:r>
    </w:p>
    <w:p w14:paraId="46A32DC8" w14:textId="6A870F68" w:rsidR="00D64E1C" w:rsidRDefault="00D64E1C" w:rsidP="00D64E1C">
      <w:pPr>
        <w:spacing w:after="0" w:line="480" w:lineRule="auto"/>
        <w:ind w:firstLine="720"/>
        <w:rPr>
          <w:rFonts w:ascii="Times New Roman" w:hAnsi="Times New Roman" w:cs="Times New Roman"/>
          <w:sz w:val="24"/>
          <w:szCs w:val="24"/>
        </w:rPr>
      </w:pPr>
      <w:r w:rsidRPr="00D64E1C">
        <w:rPr>
          <w:rFonts w:ascii="Times New Roman" w:hAnsi="Times New Roman" w:cs="Times New Roman"/>
          <w:sz w:val="24"/>
          <w:szCs w:val="24"/>
        </w:rPr>
        <w:t>According to Saint-Leger (n.d.), cash from operating activities usually list the net income then proceed to add the non-cash expenses to it, such as depreciation. After also adding the related cash items, businesses can understand their cash position through the indirect method.</w:t>
      </w:r>
      <w:r w:rsidR="0033362B">
        <w:rPr>
          <w:rFonts w:ascii="Times New Roman" w:hAnsi="Times New Roman" w:cs="Times New Roman"/>
          <w:sz w:val="24"/>
          <w:szCs w:val="24"/>
        </w:rPr>
        <w:t xml:space="preserve"> </w:t>
      </w:r>
      <w:r w:rsidRPr="00D64E1C">
        <w:rPr>
          <w:rFonts w:ascii="Times New Roman" w:hAnsi="Times New Roman" w:cs="Times New Roman"/>
          <w:sz w:val="24"/>
          <w:szCs w:val="24"/>
        </w:rPr>
        <w:t>Delta Airlines, Inc.</w:t>
      </w:r>
      <w:r w:rsidR="0033362B">
        <w:rPr>
          <w:rFonts w:ascii="Times New Roman" w:hAnsi="Times New Roman" w:cs="Times New Roman"/>
          <w:sz w:val="24"/>
          <w:szCs w:val="24"/>
        </w:rPr>
        <w:t>’s</w:t>
      </w:r>
      <w:r w:rsidRPr="00D64E1C">
        <w:rPr>
          <w:rFonts w:ascii="Times New Roman" w:hAnsi="Times New Roman" w:cs="Times New Roman"/>
          <w:sz w:val="24"/>
          <w:szCs w:val="24"/>
        </w:rPr>
        <w:t xml:space="preserve"> net cash </w:t>
      </w:r>
      <w:r w:rsidR="0033362B">
        <w:rPr>
          <w:rFonts w:ascii="Times New Roman" w:hAnsi="Times New Roman" w:cs="Times New Roman"/>
          <w:sz w:val="24"/>
          <w:szCs w:val="24"/>
        </w:rPr>
        <w:t xml:space="preserve">from </w:t>
      </w:r>
      <w:r w:rsidRPr="00D64E1C">
        <w:rPr>
          <w:rFonts w:ascii="Times New Roman" w:hAnsi="Times New Roman" w:cs="Times New Roman"/>
          <w:sz w:val="24"/>
          <w:szCs w:val="24"/>
        </w:rPr>
        <w:t>operating activities</w:t>
      </w:r>
      <w:r w:rsidR="0033362B">
        <w:rPr>
          <w:rFonts w:ascii="Times New Roman" w:hAnsi="Times New Roman" w:cs="Times New Roman"/>
          <w:sz w:val="24"/>
          <w:szCs w:val="24"/>
        </w:rPr>
        <w:t xml:space="preserve"> by 2019</w:t>
      </w:r>
      <w:r w:rsidRPr="00D64E1C">
        <w:rPr>
          <w:rFonts w:ascii="Times New Roman" w:hAnsi="Times New Roman" w:cs="Times New Roman"/>
          <w:sz w:val="24"/>
          <w:szCs w:val="24"/>
        </w:rPr>
        <w:t xml:space="preserve"> amounted to $8,425 million. After evaluating this company, one can tell that Delta Airlines, Inc. has a steady net cash flow. It implies that Delta Airlines, Inc. is flexible enough to invest in other aspects of its business. For example, by buying new equipment, making acquisitions, and paying off debts.</w:t>
      </w:r>
    </w:p>
    <w:p w14:paraId="701356D0" w14:textId="12EAAA21" w:rsidR="00F70B98" w:rsidRDefault="00F70B98" w:rsidP="00F70B98">
      <w:pPr>
        <w:spacing w:after="0" w:line="480" w:lineRule="auto"/>
        <w:rPr>
          <w:rFonts w:ascii="Times New Roman" w:hAnsi="Times New Roman" w:cs="Times New Roman"/>
          <w:sz w:val="24"/>
          <w:szCs w:val="24"/>
        </w:rPr>
      </w:pPr>
    </w:p>
    <w:p w14:paraId="4F8D6511" w14:textId="77777777" w:rsidR="00BF02DD" w:rsidRDefault="00BF02DD" w:rsidP="00F70B98">
      <w:pPr>
        <w:spacing w:after="0" w:line="480" w:lineRule="auto"/>
        <w:rPr>
          <w:rFonts w:ascii="Times New Roman" w:hAnsi="Times New Roman" w:cs="Times New Roman"/>
          <w:sz w:val="24"/>
          <w:szCs w:val="24"/>
        </w:rPr>
      </w:pPr>
    </w:p>
    <w:p w14:paraId="5A69AB2B" w14:textId="13E4ABE5" w:rsidR="004C5F05" w:rsidRDefault="004C5F05" w:rsidP="004C5F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4727FF" w14:textId="63D524D8" w:rsidR="004C5F05" w:rsidRPr="003916B9" w:rsidRDefault="004C5F05" w:rsidP="003916B9">
      <w:pPr>
        <w:spacing w:after="0" w:line="480" w:lineRule="auto"/>
        <w:ind w:left="720" w:hanging="720"/>
        <w:rPr>
          <w:rFonts w:ascii="Times New Roman" w:hAnsi="Times New Roman" w:cs="Times New Roman"/>
          <w:sz w:val="24"/>
          <w:szCs w:val="24"/>
        </w:rPr>
      </w:pPr>
      <w:r w:rsidRPr="003916B9">
        <w:rPr>
          <w:rFonts w:ascii="Times New Roman" w:hAnsi="Times New Roman" w:cs="Times New Roman"/>
          <w:sz w:val="24"/>
          <w:szCs w:val="24"/>
        </w:rPr>
        <w:t xml:space="preserve">Saint-Leger, R. (n.d.). What are the two methods used in reporting net cash flow from operating activities? </w:t>
      </w:r>
      <w:r w:rsidRPr="003916B9">
        <w:rPr>
          <w:rFonts w:ascii="Times New Roman" w:hAnsi="Times New Roman" w:cs="Times New Roman"/>
          <w:i/>
          <w:iCs/>
          <w:sz w:val="24"/>
          <w:szCs w:val="24"/>
        </w:rPr>
        <w:t>Chron</w:t>
      </w:r>
      <w:r w:rsidRPr="003916B9">
        <w:rPr>
          <w:rFonts w:ascii="Times New Roman" w:hAnsi="Times New Roman" w:cs="Times New Roman"/>
          <w:sz w:val="24"/>
          <w:szCs w:val="24"/>
        </w:rPr>
        <w:t xml:space="preserve">. Retrieved from </w:t>
      </w:r>
      <w:hyperlink r:id="rId7" w:history="1">
        <w:r w:rsidRPr="003916B9">
          <w:rPr>
            <w:rStyle w:val="Hyperlink"/>
            <w:rFonts w:ascii="Times New Roman" w:hAnsi="Times New Roman" w:cs="Times New Roman"/>
            <w:color w:val="auto"/>
            <w:sz w:val="24"/>
            <w:szCs w:val="24"/>
            <w:u w:val="none"/>
          </w:rPr>
          <w:t>https://smallbusiness.chron.com/two-methods-used-reporting-net-cash-flow-operating-activities-43545.html</w:t>
        </w:r>
      </w:hyperlink>
    </w:p>
    <w:p w14:paraId="02F35C92" w14:textId="4D430CD4" w:rsidR="003916B9" w:rsidRPr="003916B9" w:rsidRDefault="003916B9" w:rsidP="003916B9">
      <w:pPr>
        <w:spacing w:after="0" w:line="480" w:lineRule="auto"/>
        <w:ind w:left="720" w:hanging="720"/>
        <w:rPr>
          <w:rFonts w:ascii="Times New Roman" w:hAnsi="Times New Roman" w:cs="Times New Roman"/>
          <w:sz w:val="24"/>
          <w:szCs w:val="24"/>
        </w:rPr>
      </w:pPr>
      <w:r w:rsidRPr="003916B9">
        <w:rPr>
          <w:rFonts w:ascii="Times New Roman" w:hAnsi="Times New Roman" w:cs="Times New Roman"/>
          <w:sz w:val="24"/>
          <w:szCs w:val="24"/>
        </w:rPr>
        <w:t xml:space="preserve">The Link to the Statement: </w:t>
      </w:r>
      <w:hyperlink r:id="rId8" w:history="1">
        <w:r w:rsidRPr="003916B9">
          <w:rPr>
            <w:rStyle w:val="Hyperlink"/>
            <w:rFonts w:ascii="Times New Roman" w:hAnsi="Times New Roman" w:cs="Times New Roman"/>
            <w:color w:val="auto"/>
            <w:sz w:val="24"/>
            <w:szCs w:val="24"/>
            <w:u w:val="none"/>
          </w:rPr>
          <w:t>https://www.annualreports.com/HostedData/AnnualReports/PDF/NYSE_DAL_2019.pdf</w:t>
        </w:r>
      </w:hyperlink>
    </w:p>
    <w:p w14:paraId="6676AC7B" w14:textId="77777777" w:rsidR="004C5F05" w:rsidRPr="004C5F05" w:rsidRDefault="004C5F05" w:rsidP="004C5F05">
      <w:pPr>
        <w:spacing w:after="0" w:line="480" w:lineRule="auto"/>
        <w:rPr>
          <w:rFonts w:ascii="Times New Roman" w:hAnsi="Times New Roman" w:cs="Times New Roman"/>
          <w:sz w:val="24"/>
          <w:szCs w:val="24"/>
        </w:rPr>
      </w:pPr>
    </w:p>
    <w:sectPr w:rsidR="004C5F05" w:rsidRPr="004C5F05" w:rsidSect="00E225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84B7B" w14:textId="77777777" w:rsidR="001C24EE" w:rsidRDefault="001C24EE" w:rsidP="00E2252F">
      <w:pPr>
        <w:spacing w:after="0" w:line="240" w:lineRule="auto"/>
      </w:pPr>
      <w:r>
        <w:separator/>
      </w:r>
    </w:p>
  </w:endnote>
  <w:endnote w:type="continuationSeparator" w:id="0">
    <w:p w14:paraId="55B5E1CE" w14:textId="77777777" w:rsidR="001C24EE" w:rsidRDefault="001C24EE" w:rsidP="00E22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9DF8F" w14:textId="77777777" w:rsidR="001C24EE" w:rsidRDefault="001C24EE" w:rsidP="00E2252F">
      <w:pPr>
        <w:spacing w:after="0" w:line="240" w:lineRule="auto"/>
      </w:pPr>
      <w:r>
        <w:separator/>
      </w:r>
    </w:p>
  </w:footnote>
  <w:footnote w:type="continuationSeparator" w:id="0">
    <w:p w14:paraId="09DE3B71" w14:textId="77777777" w:rsidR="001C24EE" w:rsidRDefault="001C24EE" w:rsidP="00E22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3BC9A" w14:textId="719869C8" w:rsidR="00BB4C64" w:rsidRPr="00BE77B0" w:rsidRDefault="00BB4C64" w:rsidP="00BE77B0">
    <w:pPr>
      <w:pStyle w:val="Header"/>
      <w:spacing w:line="480" w:lineRule="auto"/>
      <w:jc w:val="right"/>
      <w:rPr>
        <w:rFonts w:ascii="Times New Roman" w:hAnsi="Times New Roman" w:cs="Times New Roman"/>
        <w:sz w:val="24"/>
        <w:szCs w:val="24"/>
      </w:rPr>
    </w:pPr>
    <w:r w:rsidRPr="00BE77B0">
      <w:rPr>
        <w:rFonts w:ascii="Times New Roman" w:hAnsi="Times New Roman" w:cs="Times New Roman"/>
        <w:sz w:val="24"/>
        <w:szCs w:val="24"/>
      </w:rPr>
      <w:t>DELTA AIRLINES</w:t>
    </w:r>
    <w:r w:rsidRPr="00BE77B0">
      <w:rPr>
        <w:rFonts w:ascii="Times New Roman" w:hAnsi="Times New Roman" w:cs="Times New Roman"/>
        <w:sz w:val="24"/>
        <w:szCs w:val="24"/>
      </w:rPr>
      <w:tab/>
    </w:r>
    <w:r w:rsidRPr="00BE77B0">
      <w:rPr>
        <w:rFonts w:ascii="Times New Roman" w:hAnsi="Times New Roman" w:cs="Times New Roman"/>
        <w:sz w:val="24"/>
        <w:szCs w:val="24"/>
      </w:rPr>
      <w:tab/>
    </w:r>
    <w:sdt>
      <w:sdtPr>
        <w:rPr>
          <w:rFonts w:ascii="Times New Roman" w:hAnsi="Times New Roman" w:cs="Times New Roman"/>
          <w:sz w:val="24"/>
          <w:szCs w:val="24"/>
        </w:rPr>
        <w:id w:val="132219350"/>
        <w:docPartObj>
          <w:docPartGallery w:val="Page Numbers (Top of Page)"/>
          <w:docPartUnique/>
        </w:docPartObj>
      </w:sdtPr>
      <w:sdtEndPr>
        <w:rPr>
          <w:noProof/>
        </w:rPr>
      </w:sdtEndPr>
      <w:sdtContent>
        <w:r w:rsidRPr="00BE77B0">
          <w:rPr>
            <w:rFonts w:ascii="Times New Roman" w:hAnsi="Times New Roman" w:cs="Times New Roman"/>
            <w:sz w:val="24"/>
            <w:szCs w:val="24"/>
          </w:rPr>
          <w:fldChar w:fldCharType="begin"/>
        </w:r>
        <w:r w:rsidRPr="00BE77B0">
          <w:rPr>
            <w:rFonts w:ascii="Times New Roman" w:hAnsi="Times New Roman" w:cs="Times New Roman"/>
            <w:sz w:val="24"/>
            <w:szCs w:val="24"/>
          </w:rPr>
          <w:instrText xml:space="preserve"> PAGE   \* MERGEFORMAT </w:instrText>
        </w:r>
        <w:r w:rsidRPr="00BE77B0">
          <w:rPr>
            <w:rFonts w:ascii="Times New Roman" w:hAnsi="Times New Roman" w:cs="Times New Roman"/>
            <w:sz w:val="24"/>
            <w:szCs w:val="24"/>
          </w:rPr>
          <w:fldChar w:fldCharType="separate"/>
        </w:r>
        <w:r w:rsidR="00597A4B">
          <w:rPr>
            <w:rFonts w:ascii="Times New Roman" w:hAnsi="Times New Roman" w:cs="Times New Roman"/>
            <w:noProof/>
            <w:sz w:val="24"/>
            <w:szCs w:val="24"/>
          </w:rPr>
          <w:t>3</w:t>
        </w:r>
        <w:r w:rsidRPr="00BE77B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16A93" w14:textId="35197C80" w:rsidR="00E2252F" w:rsidRPr="00E2252F" w:rsidRDefault="00E2252F" w:rsidP="00E2252F">
    <w:pPr>
      <w:pStyle w:val="Header"/>
      <w:spacing w:line="480" w:lineRule="auto"/>
      <w:jc w:val="right"/>
      <w:rPr>
        <w:rFonts w:ascii="Times New Roman" w:hAnsi="Times New Roman" w:cs="Times New Roman"/>
        <w:sz w:val="24"/>
        <w:szCs w:val="24"/>
      </w:rPr>
    </w:pPr>
    <w:r w:rsidRPr="00E2252F">
      <w:rPr>
        <w:rFonts w:ascii="Times New Roman" w:hAnsi="Times New Roman" w:cs="Times New Roman"/>
        <w:sz w:val="24"/>
        <w:szCs w:val="24"/>
      </w:rPr>
      <w:t>Running head: DELTA AIRLINES</w:t>
    </w:r>
    <w:r w:rsidRPr="00E2252F">
      <w:rPr>
        <w:rFonts w:ascii="Times New Roman" w:hAnsi="Times New Roman" w:cs="Times New Roman"/>
        <w:sz w:val="24"/>
        <w:szCs w:val="24"/>
      </w:rPr>
      <w:tab/>
    </w:r>
    <w:r w:rsidRPr="00E2252F">
      <w:rPr>
        <w:rFonts w:ascii="Times New Roman" w:hAnsi="Times New Roman" w:cs="Times New Roman"/>
        <w:sz w:val="24"/>
        <w:szCs w:val="24"/>
      </w:rPr>
      <w:tab/>
    </w:r>
    <w:sdt>
      <w:sdtPr>
        <w:rPr>
          <w:rFonts w:ascii="Times New Roman" w:hAnsi="Times New Roman" w:cs="Times New Roman"/>
          <w:sz w:val="24"/>
          <w:szCs w:val="24"/>
        </w:rPr>
        <w:id w:val="-996334170"/>
        <w:docPartObj>
          <w:docPartGallery w:val="Page Numbers (Top of Page)"/>
          <w:docPartUnique/>
        </w:docPartObj>
      </w:sdtPr>
      <w:sdtEndPr>
        <w:rPr>
          <w:noProof/>
        </w:rPr>
      </w:sdtEndPr>
      <w:sdtContent>
        <w:r w:rsidRPr="00E2252F">
          <w:rPr>
            <w:rFonts w:ascii="Times New Roman" w:hAnsi="Times New Roman" w:cs="Times New Roman"/>
            <w:sz w:val="24"/>
            <w:szCs w:val="24"/>
          </w:rPr>
          <w:fldChar w:fldCharType="begin"/>
        </w:r>
        <w:r w:rsidRPr="00E2252F">
          <w:rPr>
            <w:rFonts w:ascii="Times New Roman" w:hAnsi="Times New Roman" w:cs="Times New Roman"/>
            <w:sz w:val="24"/>
            <w:szCs w:val="24"/>
          </w:rPr>
          <w:instrText xml:space="preserve"> PAGE   \* MERGEFORMAT </w:instrText>
        </w:r>
        <w:r w:rsidRPr="00E2252F">
          <w:rPr>
            <w:rFonts w:ascii="Times New Roman" w:hAnsi="Times New Roman" w:cs="Times New Roman"/>
            <w:sz w:val="24"/>
            <w:szCs w:val="24"/>
          </w:rPr>
          <w:fldChar w:fldCharType="separate"/>
        </w:r>
        <w:r w:rsidR="00597A4B">
          <w:rPr>
            <w:rFonts w:ascii="Times New Roman" w:hAnsi="Times New Roman" w:cs="Times New Roman"/>
            <w:noProof/>
            <w:sz w:val="24"/>
            <w:szCs w:val="24"/>
          </w:rPr>
          <w:t>1</w:t>
        </w:r>
        <w:r w:rsidRPr="00E225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8AA"/>
    <w:rsid w:val="00116FEF"/>
    <w:rsid w:val="00152480"/>
    <w:rsid w:val="00160980"/>
    <w:rsid w:val="00160B7D"/>
    <w:rsid w:val="001C24EE"/>
    <w:rsid w:val="00243F76"/>
    <w:rsid w:val="002B38AA"/>
    <w:rsid w:val="0033362B"/>
    <w:rsid w:val="003916B9"/>
    <w:rsid w:val="004C5F05"/>
    <w:rsid w:val="00571432"/>
    <w:rsid w:val="00597A4B"/>
    <w:rsid w:val="006D1E59"/>
    <w:rsid w:val="00722BA3"/>
    <w:rsid w:val="007667BE"/>
    <w:rsid w:val="007E6617"/>
    <w:rsid w:val="007F2556"/>
    <w:rsid w:val="00973685"/>
    <w:rsid w:val="009E7E1D"/>
    <w:rsid w:val="00BB4C64"/>
    <w:rsid w:val="00BB5782"/>
    <w:rsid w:val="00BD6184"/>
    <w:rsid w:val="00BE77B0"/>
    <w:rsid w:val="00BF02DD"/>
    <w:rsid w:val="00D64E1C"/>
    <w:rsid w:val="00D97A84"/>
    <w:rsid w:val="00E2252F"/>
    <w:rsid w:val="00E432E4"/>
    <w:rsid w:val="00F5750C"/>
    <w:rsid w:val="00F70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6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52F"/>
  </w:style>
  <w:style w:type="paragraph" w:styleId="Footer">
    <w:name w:val="footer"/>
    <w:basedOn w:val="Normal"/>
    <w:link w:val="FooterChar"/>
    <w:uiPriority w:val="99"/>
    <w:unhideWhenUsed/>
    <w:rsid w:val="00E22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52F"/>
  </w:style>
  <w:style w:type="character" w:styleId="Hyperlink">
    <w:name w:val="Hyperlink"/>
    <w:basedOn w:val="DefaultParagraphFont"/>
    <w:uiPriority w:val="99"/>
    <w:unhideWhenUsed/>
    <w:rsid w:val="004C5F05"/>
    <w:rPr>
      <w:color w:val="0000FF"/>
      <w:u w:val="single"/>
    </w:rPr>
  </w:style>
  <w:style w:type="character" w:customStyle="1" w:styleId="UnresolvedMention">
    <w:name w:val="Unresolved Mention"/>
    <w:basedOn w:val="DefaultParagraphFont"/>
    <w:uiPriority w:val="99"/>
    <w:semiHidden/>
    <w:unhideWhenUsed/>
    <w:rsid w:val="003916B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52F"/>
  </w:style>
  <w:style w:type="paragraph" w:styleId="Footer">
    <w:name w:val="footer"/>
    <w:basedOn w:val="Normal"/>
    <w:link w:val="FooterChar"/>
    <w:uiPriority w:val="99"/>
    <w:unhideWhenUsed/>
    <w:rsid w:val="00E22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52F"/>
  </w:style>
  <w:style w:type="character" w:styleId="Hyperlink">
    <w:name w:val="Hyperlink"/>
    <w:basedOn w:val="DefaultParagraphFont"/>
    <w:uiPriority w:val="99"/>
    <w:unhideWhenUsed/>
    <w:rsid w:val="004C5F05"/>
    <w:rPr>
      <w:color w:val="0000FF"/>
      <w:u w:val="single"/>
    </w:rPr>
  </w:style>
  <w:style w:type="character" w:customStyle="1" w:styleId="UnresolvedMention">
    <w:name w:val="Unresolved Mention"/>
    <w:basedOn w:val="DefaultParagraphFont"/>
    <w:uiPriority w:val="99"/>
    <w:semiHidden/>
    <w:unhideWhenUsed/>
    <w:rsid w:val="00391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ualreports.com/HostedData/AnnualReports/PDF/NYSE_DAL_2019.pdf" TargetMode="External"/><Relationship Id="rId3" Type="http://schemas.openxmlformats.org/officeDocument/2006/relationships/settings" Target="settings.xml"/><Relationship Id="rId7" Type="http://schemas.openxmlformats.org/officeDocument/2006/relationships/hyperlink" Target="https://smallbusiness.chron.com/two-methods-used-reporting-net-cash-flow-operating-activities-43545.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25477</dc:creator>
  <cp:lastModifiedBy>hp</cp:lastModifiedBy>
  <cp:revision>2</cp:revision>
  <dcterms:created xsi:type="dcterms:W3CDTF">2020-08-22T15:41:00Z</dcterms:created>
  <dcterms:modified xsi:type="dcterms:W3CDTF">2020-08-22T15:41:00Z</dcterms:modified>
</cp:coreProperties>
</file>